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08F9CA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B4099C">
        <w:rPr>
          <w:bCs/>
          <w:noProof w:val="0"/>
          <w:sz w:val="24"/>
          <w:szCs w:val="24"/>
        </w:rPr>
        <w:t>0</w:t>
      </w:r>
      <w:r w:rsidR="00B4099C" w:rsidRPr="00B4099C">
        <w:rPr>
          <w:bCs/>
          <w:noProof w:val="0"/>
          <w:sz w:val="24"/>
          <w:szCs w:val="24"/>
        </w:rPr>
        <w:t>7191</w:t>
      </w:r>
    </w:p>
    <w:p w14:paraId="231362B2" w14:textId="2EEADD5A" w:rsidR="00CD4C7B" w:rsidRPr="00B266B0" w:rsidRDefault="004006E8"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sidR="00112F1A">
        <w:rPr>
          <w:rFonts w:eastAsia="SimSun"/>
          <w:noProof w:val="0"/>
          <w:sz w:val="24"/>
          <w:szCs w:val="24"/>
          <w:lang w:eastAsia="zh-CN"/>
        </w:rPr>
        <w:t>27</w:t>
      </w:r>
      <w:r w:rsidR="00C92967">
        <w:rPr>
          <w:rFonts w:eastAsia="SimSun"/>
          <w:noProof w:val="0"/>
          <w:sz w:val="24"/>
          <w:szCs w:val="24"/>
          <w:lang w:eastAsia="zh-CN"/>
        </w:rPr>
        <w:t xml:space="preserve"> - </w:t>
      </w:r>
      <w:r w:rsidR="00112F1A">
        <w:rPr>
          <w:rFonts w:eastAsia="SimSun"/>
          <w:noProof w:val="0"/>
          <w:sz w:val="24"/>
          <w:szCs w:val="24"/>
          <w:lang w:eastAsia="zh-CN"/>
        </w:rPr>
        <w:t>29</w:t>
      </w:r>
      <w:r w:rsidR="00C92967">
        <w:rPr>
          <w:rFonts w:eastAsia="SimSun"/>
          <w:noProof w:val="0"/>
          <w:sz w:val="24"/>
          <w:szCs w:val="24"/>
          <w:lang w:eastAsia="zh-CN"/>
        </w:rPr>
        <w:t xml:space="preserve"> </w:t>
      </w:r>
      <w:r w:rsidR="00112F1A">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DB54A3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64DE7">
        <w:rPr>
          <w:rFonts w:cs="Arial"/>
          <w:b/>
          <w:bCs/>
          <w:sz w:val="24"/>
          <w:lang w:eastAsia="ja-JP"/>
        </w:rPr>
        <w:t>10.2.2.5</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25DCF89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53A20">
        <w:rPr>
          <w:rFonts w:ascii="Arial" w:hAnsi="Arial" w:cs="Arial"/>
          <w:b/>
          <w:bCs/>
          <w:sz w:val="24"/>
        </w:rPr>
        <w:t>PSCell deactivation in EN-DC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E3EB022" w14:textId="0B6613E6" w:rsidR="00154FEA" w:rsidRDefault="00154FEA" w:rsidP="00CD4C7B">
      <w:r>
        <w:t xml:space="preserve">Based on [1], RAN2#98 discussed whether </w:t>
      </w:r>
      <w:r w:rsidRPr="00154FEA">
        <w:t>to support PSCell deactivation for EN-DC</w:t>
      </w:r>
      <w:r>
        <w:t>. This contribution addresses that question.</w:t>
      </w:r>
    </w:p>
    <w:p w14:paraId="127ACA6D" w14:textId="0A392CC8" w:rsidR="00CD4C7B" w:rsidRPr="006E13D1" w:rsidRDefault="00CD4C7B" w:rsidP="00CD4C7B">
      <w:pPr>
        <w:pStyle w:val="Heading1"/>
      </w:pPr>
      <w:r w:rsidRPr="006E13D1">
        <w:t>2</w:t>
      </w:r>
      <w:r w:rsidRPr="006E13D1">
        <w:tab/>
      </w:r>
      <w:r w:rsidR="00DC3A59">
        <w:t>Discussion</w:t>
      </w:r>
    </w:p>
    <w:p w14:paraId="61571C8E" w14:textId="17243E97" w:rsidR="00DC3A59" w:rsidRDefault="00DC3A59" w:rsidP="00CD4C7B">
      <w:r>
        <w:t xml:space="preserve">If deactivation of PSCell is allowed, one of the first </w:t>
      </w:r>
      <w:r w:rsidR="000A1316">
        <w:t xml:space="preserve">open </w:t>
      </w:r>
      <w:r>
        <w:t>questions is whether MeNB could activate or deactivate the PSCell by a command sent to the UE over MCG.</w:t>
      </w:r>
    </w:p>
    <w:p w14:paraId="11867104" w14:textId="5EFE16C4" w:rsidR="00DC3A59" w:rsidRDefault="00DC3A59" w:rsidP="00DC3A59">
      <w:pPr>
        <w:ind w:left="1704" w:hanging="1416"/>
      </w:pPr>
      <w:r w:rsidRPr="00DC3A59">
        <w:rPr>
          <w:b/>
        </w:rPr>
        <w:t>Observation 1</w:t>
      </w:r>
      <w:r>
        <w:t>:</w:t>
      </w:r>
      <w:r>
        <w:tab/>
        <w:t xml:space="preserve">If deactivation of </w:t>
      </w:r>
      <w:r w:rsidR="00D148C4">
        <w:t xml:space="preserve">EN-DC </w:t>
      </w:r>
      <w:r>
        <w:t xml:space="preserve">PSCell is allowed, </w:t>
      </w:r>
      <w:r w:rsidR="00F84867">
        <w:t xml:space="preserve">it needs to be specified </w:t>
      </w:r>
      <w:r>
        <w:t xml:space="preserve">whether MeNB </w:t>
      </w:r>
      <w:r w:rsidR="00F84867">
        <w:t>can</w:t>
      </w:r>
      <w:r>
        <w:t xml:space="preserve"> activate or deactivate the PSCell.</w:t>
      </w:r>
    </w:p>
    <w:p w14:paraId="296015ED" w14:textId="1E81CC1C" w:rsidR="00DC3A59" w:rsidRDefault="00F84867" w:rsidP="00CD4C7B">
      <w:r>
        <w:t>Regardless of whether MeNB or SgNB decides on PSCell deactivation, the UE can be configured with a split bearer whose PDCP terminates at SgNB or MeNB, respectively. The node hosting the PDCP will be providing the PDCP configuration for the UE to use</w:t>
      </w:r>
      <w:r w:rsidR="00154EFE">
        <w:t>, and by current assumptions, the other node will not need to know about the exact PDCP configuration</w:t>
      </w:r>
      <w:r>
        <w:t>. Uplink split will be part of that configuration, including which uplink, MCG or SCG, the UE will treat as the primary one in its uplink tra</w:t>
      </w:r>
      <w:r w:rsidR="00154EFE">
        <w:t xml:space="preserve">nsmissions on the split bearer. So in principle, the UE could be configured to use the SCG as the primary uplink for a split bearer, without the node </w:t>
      </w:r>
      <w:r w:rsidR="00456DED">
        <w:t>in charge of PSCell deactivation knowing</w:t>
      </w:r>
      <w:r w:rsidR="00154EFE">
        <w:t xml:space="preserve">; </w:t>
      </w:r>
      <w:r w:rsidR="00456DED">
        <w:t>it needs to be discussed whether such a scenario is allowed.</w:t>
      </w:r>
    </w:p>
    <w:p w14:paraId="748017D3" w14:textId="71BCEA03" w:rsidR="00456DED" w:rsidRDefault="0084099E" w:rsidP="0084099E">
      <w:pPr>
        <w:ind w:left="1700" w:hanging="1416"/>
      </w:pPr>
      <w:r w:rsidRPr="00DC3A59">
        <w:rPr>
          <w:b/>
        </w:rPr>
        <w:t xml:space="preserve">Observation </w:t>
      </w:r>
      <w:r>
        <w:rPr>
          <w:b/>
        </w:rPr>
        <w:t>2</w:t>
      </w:r>
      <w:r>
        <w:t>:</w:t>
      </w:r>
      <w:r>
        <w:tab/>
        <w:t xml:space="preserve">If deactivation of </w:t>
      </w:r>
      <w:r w:rsidR="00D148C4">
        <w:t xml:space="preserve">EN-DC </w:t>
      </w:r>
      <w:r>
        <w:t>PSCell is allowed, it needs to be specified whether it is also allowed when the UE is configured with a split bearer whose primary uplink is the SCG.</w:t>
      </w:r>
      <w:r w:rsidR="00196A39">
        <w:t xml:space="preserve"> If not, X2 impact </w:t>
      </w:r>
      <w:r w:rsidR="00DC4784">
        <w:t xml:space="preserve">wider than mere activation/deactivation indications </w:t>
      </w:r>
      <w:r w:rsidR="00196A39">
        <w:t>is expected.</w:t>
      </w:r>
    </w:p>
    <w:p w14:paraId="3D06F6F3" w14:textId="0119808C" w:rsidR="00DC3A59" w:rsidRDefault="0084099E" w:rsidP="00CD4C7B">
      <w:r>
        <w:t>If this is allowed, when on such a split bearer new uplink data appears at the UE when the PSCell is deactivated, it needs to be discussed whether the transmission of that uplink data would require re-activating the PSCell via the MeNB first, or whether the UE can transmit the uplink data directly via MCG, until the PSCell is re-activated again. The latter option would need to be captured in the PDCP specification.</w:t>
      </w:r>
    </w:p>
    <w:p w14:paraId="54271CA2" w14:textId="3C5BCE62" w:rsidR="0084099E" w:rsidRDefault="0084099E" w:rsidP="0084099E">
      <w:pPr>
        <w:ind w:left="1700" w:hanging="1416"/>
      </w:pPr>
      <w:r w:rsidRPr="00DC3A59">
        <w:rPr>
          <w:b/>
        </w:rPr>
        <w:t xml:space="preserve">Observation </w:t>
      </w:r>
      <w:r>
        <w:rPr>
          <w:b/>
        </w:rPr>
        <w:t>3</w:t>
      </w:r>
      <w:r>
        <w:t>:</w:t>
      </w:r>
      <w:r>
        <w:tab/>
        <w:t xml:space="preserve">If deactivation of </w:t>
      </w:r>
      <w:r w:rsidR="00D148C4">
        <w:t xml:space="preserve">EN-DC </w:t>
      </w:r>
      <w:r>
        <w:t>PSCell is allowed also when the UE is configured with a split bearer whose primary uplink is the SCG, it needs to be specified whether the UE can transmit newly appearing uplink data on such a bearer directly via MCG, until the PSCell is re-activated again</w:t>
      </w:r>
      <w:r w:rsidR="00BF4F11">
        <w:t>. If yes, PDCP impact is expected.</w:t>
      </w:r>
    </w:p>
    <w:p w14:paraId="0ABB3A89" w14:textId="2FC6981C" w:rsidR="0084099E" w:rsidRDefault="00EF7827" w:rsidP="00CD4C7B">
      <w:r>
        <w:t xml:space="preserve">RAN2 have also agreed to support an SCG SRB, over which the UE can transmit </w:t>
      </w:r>
      <w:r w:rsidR="000A1316">
        <w:t xml:space="preserve">NR-RRC messages, such as </w:t>
      </w:r>
      <w:r>
        <w:t xml:space="preserve">measurement reports. </w:t>
      </w:r>
      <w:r w:rsidR="000A1316">
        <w:t>When such an uplink RRC message appears at the UE when the PSCell is deactivated, a question similar to the one above arises: does the transmission of that uplink RRC message require re-activating the PSCell via the MeNB first, or can the UE transmit the message over an MCG SRB instead. The latter option would need to be captured in the RRC specification.</w:t>
      </w:r>
    </w:p>
    <w:p w14:paraId="5F1E6237" w14:textId="660FB5B2" w:rsidR="000A1316" w:rsidRDefault="000A1316" w:rsidP="00EC5C1D">
      <w:pPr>
        <w:ind w:left="1700" w:hanging="1416"/>
      </w:pPr>
      <w:r w:rsidRPr="000A1316">
        <w:rPr>
          <w:b/>
        </w:rPr>
        <w:t>Observation 4</w:t>
      </w:r>
      <w:r>
        <w:t>:</w:t>
      </w:r>
      <w:r>
        <w:tab/>
        <w:t xml:space="preserve">If deactivation of </w:t>
      </w:r>
      <w:r w:rsidR="00D148C4">
        <w:t xml:space="preserve">EN-DC </w:t>
      </w:r>
      <w:r>
        <w:t xml:space="preserve">PSCell is allowed, it needs to be specified whether </w:t>
      </w:r>
      <w:r w:rsidR="00EC5C1D">
        <w:t>the UE can transmit a newly appearing uplink NR-RRC message directly over an MCG SRB despite a co-existing SCG SRB, until the PSCell is re-activated again. If yes, RRC impact is expected.</w:t>
      </w:r>
    </w:p>
    <w:p w14:paraId="50198E71" w14:textId="42E63B32" w:rsidR="0084099E" w:rsidRDefault="00EC5C1D" w:rsidP="00CD4C7B">
      <w:r>
        <w:t xml:space="preserve">Based on the number of open issues identified above, </w:t>
      </w:r>
      <w:r w:rsidR="00D148C4">
        <w:t xml:space="preserve">the possible wide-reaching specification impact, </w:t>
      </w:r>
      <w:r>
        <w:t xml:space="preserve">and on the schedule of the ongoing work item, we think PSCell deactivation </w:t>
      </w:r>
      <w:r w:rsidR="00493A0D">
        <w:t xml:space="preserve">should not </w:t>
      </w:r>
      <w:r>
        <w:t xml:space="preserve">be adopted in </w:t>
      </w:r>
      <w:r w:rsidR="00493A0D">
        <w:t>Rel-15</w:t>
      </w:r>
      <w:r>
        <w:t>.</w:t>
      </w:r>
    </w:p>
    <w:p w14:paraId="2CB0E542" w14:textId="6FCC471E" w:rsidR="00EC5C1D" w:rsidRDefault="00EC5C1D" w:rsidP="00CD4C7B">
      <w:r>
        <w:lastRenderedPageBreak/>
        <w:tab/>
      </w:r>
      <w:r w:rsidRPr="00D148C4">
        <w:rPr>
          <w:b/>
        </w:rPr>
        <w:t>Proposal</w:t>
      </w:r>
      <w:r>
        <w:t>:</w:t>
      </w:r>
      <w:r>
        <w:tab/>
      </w:r>
      <w:r>
        <w:tab/>
      </w:r>
      <w:r w:rsidR="00B13DC1">
        <w:tab/>
      </w:r>
      <w:r w:rsidR="00D148C4">
        <w:t xml:space="preserve">EN-DC </w:t>
      </w:r>
      <w:r>
        <w:t xml:space="preserve">PSCell </w:t>
      </w:r>
      <w:r w:rsidR="00D148C4">
        <w:t xml:space="preserve">deactivation is </w:t>
      </w:r>
      <w:r w:rsidR="00493A0D">
        <w:t>not supported in</w:t>
      </w:r>
      <w:r w:rsidR="00D148C4">
        <w:t xml:space="preserve"> Release 15.</w:t>
      </w:r>
    </w:p>
    <w:p w14:paraId="43A12B72" w14:textId="6DB3CC1C" w:rsidR="00CD4C7B" w:rsidRDefault="00D148C4" w:rsidP="00CD4C7B">
      <w:pPr>
        <w:pStyle w:val="Heading1"/>
      </w:pPr>
      <w:r>
        <w:t>3</w:t>
      </w:r>
      <w:r w:rsidR="00CD4C7B" w:rsidRPr="006E13D1">
        <w:tab/>
      </w:r>
      <w:r>
        <w:t>Conclusion</w:t>
      </w:r>
    </w:p>
    <w:p w14:paraId="25AA4323" w14:textId="117CA30A" w:rsidR="00B4099C" w:rsidRPr="00B4099C" w:rsidRDefault="00B4099C" w:rsidP="00B4099C">
      <w:r>
        <w:t>We discuss PSCell deactivation and make the following observations:</w:t>
      </w:r>
    </w:p>
    <w:p w14:paraId="707F4331" w14:textId="77777777" w:rsidR="00B4099C" w:rsidRDefault="00B4099C" w:rsidP="00B4099C">
      <w:pPr>
        <w:ind w:left="1704" w:hanging="1416"/>
      </w:pPr>
      <w:r w:rsidRPr="00DC3A59">
        <w:rPr>
          <w:b/>
        </w:rPr>
        <w:t>Observation 1</w:t>
      </w:r>
      <w:r>
        <w:t>:</w:t>
      </w:r>
      <w:r>
        <w:tab/>
        <w:t>If deactivation of EN-DC PSCell is allowed, it needs to be specified whether MeNB can activate or deactivate the PSCell.</w:t>
      </w:r>
    </w:p>
    <w:p w14:paraId="3C23725B" w14:textId="77777777" w:rsidR="00B4099C" w:rsidRDefault="00B4099C" w:rsidP="00B4099C">
      <w:pPr>
        <w:ind w:left="1700" w:hanging="1416"/>
      </w:pPr>
      <w:r w:rsidRPr="00DC3A59">
        <w:rPr>
          <w:b/>
        </w:rPr>
        <w:t xml:space="preserve">Observation </w:t>
      </w:r>
      <w:r>
        <w:rPr>
          <w:b/>
        </w:rPr>
        <w:t>2</w:t>
      </w:r>
      <w:r>
        <w:t>:</w:t>
      </w:r>
      <w:r>
        <w:tab/>
        <w:t>If deactivation of EN-DC PSCell is allowed, it needs to be specified whether it is also allowed when the UE is configured with a split bearer whose primary uplink is the SCG. If not, X2 impact wider than mere activation/deactivation indications is expected.</w:t>
      </w:r>
    </w:p>
    <w:p w14:paraId="76B9E03F" w14:textId="77777777" w:rsidR="00B4099C" w:rsidRDefault="00B4099C" w:rsidP="00B4099C">
      <w:pPr>
        <w:ind w:left="1700" w:hanging="1416"/>
      </w:pPr>
      <w:r w:rsidRPr="00DC3A59">
        <w:rPr>
          <w:b/>
        </w:rPr>
        <w:t xml:space="preserve">Observation </w:t>
      </w:r>
      <w:r>
        <w:rPr>
          <w:b/>
        </w:rPr>
        <w:t>3</w:t>
      </w:r>
      <w:r>
        <w:t>:</w:t>
      </w:r>
      <w:r>
        <w:tab/>
        <w:t>If deactivation of EN-DC PSCell is allowed also when the UE is configured with a split bearer whose primary uplink is the SCG, it needs to be specified whether the UE can transmit newly appearing uplink data on such a bearer directly via MCG, until the PSCell is re-activated again. If yes, PDCP impact is expected.</w:t>
      </w:r>
    </w:p>
    <w:p w14:paraId="5401E682" w14:textId="77777777" w:rsidR="00B4099C" w:rsidRDefault="00B4099C" w:rsidP="00B4099C">
      <w:pPr>
        <w:ind w:left="1700" w:hanging="1416"/>
      </w:pPr>
      <w:r w:rsidRPr="000A1316">
        <w:rPr>
          <w:b/>
        </w:rPr>
        <w:t>Observation 4</w:t>
      </w:r>
      <w:r>
        <w:t>:</w:t>
      </w:r>
      <w:r>
        <w:tab/>
        <w:t>If deactivation of EN-DC PSCell is allowed, it needs to be specified whether the UE can transmit a newly appearing uplink NR-RRC message directly over an MCG SRB despite a co-existing SCG SRB, until the PSCell is re-activated again. If yes, RRC impact is expected.</w:t>
      </w:r>
    </w:p>
    <w:p w14:paraId="20982FD1" w14:textId="28E5F202" w:rsidR="00B4099C" w:rsidRDefault="00B4099C" w:rsidP="00CD4C7B">
      <w:r w:rsidRPr="00B4099C">
        <w:t>Therefore, we propose:</w:t>
      </w:r>
    </w:p>
    <w:p w14:paraId="5F7E9058" w14:textId="77777777" w:rsidR="00B4099C" w:rsidRDefault="00B4099C" w:rsidP="00B4099C">
      <w:r>
        <w:tab/>
      </w:r>
      <w:r w:rsidRPr="00D148C4">
        <w:rPr>
          <w:b/>
        </w:rPr>
        <w:t>Proposal</w:t>
      </w:r>
      <w:r>
        <w:t>:</w:t>
      </w:r>
      <w:r>
        <w:tab/>
      </w:r>
      <w:r>
        <w:tab/>
      </w:r>
      <w:r>
        <w:tab/>
        <w:t>EN-DC PSCell deactivation is not supported in Release 15.</w:t>
      </w:r>
      <w:bookmarkStart w:id="1" w:name="_GoBack"/>
    </w:p>
    <w:bookmarkEnd w:id="1"/>
    <w:p w14:paraId="0FDCFAC2" w14:textId="77777777" w:rsidR="00CD4C7B" w:rsidRPr="006E13D1" w:rsidRDefault="00CD4C7B" w:rsidP="00CD4C7B">
      <w:pPr>
        <w:pStyle w:val="Heading1"/>
      </w:pPr>
      <w:r w:rsidRPr="006E13D1">
        <w:t>References</w:t>
      </w:r>
    </w:p>
    <w:p w14:paraId="5786D2FC" w14:textId="5C03F52B" w:rsidR="008F384E" w:rsidRPr="006E13D1" w:rsidRDefault="00A8487C" w:rsidP="00B06A18">
      <w:pPr>
        <w:numPr>
          <w:ilvl w:val="0"/>
          <w:numId w:val="4"/>
        </w:numPr>
        <w:overflowPunct w:val="0"/>
        <w:autoSpaceDE w:val="0"/>
        <w:autoSpaceDN w:val="0"/>
        <w:adjustRightInd w:val="0"/>
        <w:textAlignment w:val="baseline"/>
      </w:pPr>
      <w:hyperlink r:id="rId11" w:history="1">
        <w:r w:rsidR="00B06A18" w:rsidRPr="00B06A18">
          <w:rPr>
            <w:rStyle w:val="Hyperlink"/>
          </w:rPr>
          <w:t>R2-1704338</w:t>
        </w:r>
      </w:hyperlink>
      <w:r w:rsidR="00B06A18" w:rsidRPr="00B06A18">
        <w:tab/>
      </w:r>
      <w:r w:rsidR="00B06A18" w:rsidRPr="00B06A18">
        <w:rPr>
          <w:i/>
        </w:rPr>
        <w:t>Activation/deactivation for NR</w:t>
      </w:r>
      <w:r w:rsidR="00B06A18" w:rsidRPr="00B06A18">
        <w:tab/>
      </w:r>
      <w:r w:rsidR="00B06A18">
        <w:t xml:space="preserve">- </w:t>
      </w:r>
      <w:r w:rsidR="00B06A18" w:rsidRPr="00B06A18">
        <w:t>NTT DOCOMO INC.</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B6A95" w14:textId="77777777" w:rsidR="00A27E58" w:rsidRDefault="00A27E58">
      <w:r>
        <w:separator/>
      </w:r>
    </w:p>
  </w:endnote>
  <w:endnote w:type="continuationSeparator" w:id="0">
    <w:p w14:paraId="140EC7AC" w14:textId="77777777" w:rsidR="00A27E58" w:rsidRDefault="00A27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3B152" w14:textId="77777777" w:rsidR="00A27E58" w:rsidRDefault="00A27E58">
      <w:r>
        <w:separator/>
      </w:r>
    </w:p>
  </w:footnote>
  <w:footnote w:type="continuationSeparator" w:id="0">
    <w:p w14:paraId="0BFF29EC" w14:textId="77777777" w:rsidR="00A27E58" w:rsidRDefault="00A27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A1316"/>
    <w:rsid w:val="000B7BCF"/>
    <w:rsid w:val="000C522B"/>
    <w:rsid w:val="000D58AB"/>
    <w:rsid w:val="00112F1A"/>
    <w:rsid w:val="00145075"/>
    <w:rsid w:val="00154EFE"/>
    <w:rsid w:val="00154FEA"/>
    <w:rsid w:val="001741A0"/>
    <w:rsid w:val="00194CD0"/>
    <w:rsid w:val="00196A39"/>
    <w:rsid w:val="001B49C9"/>
    <w:rsid w:val="001F168B"/>
    <w:rsid w:val="001F7831"/>
    <w:rsid w:val="00204045"/>
    <w:rsid w:val="0022606D"/>
    <w:rsid w:val="00246363"/>
    <w:rsid w:val="002747EC"/>
    <w:rsid w:val="002855BF"/>
    <w:rsid w:val="002F0D22"/>
    <w:rsid w:val="003172DC"/>
    <w:rsid w:val="00326069"/>
    <w:rsid w:val="0035462D"/>
    <w:rsid w:val="00364DE7"/>
    <w:rsid w:val="003B40AD"/>
    <w:rsid w:val="003C4E37"/>
    <w:rsid w:val="003E16BE"/>
    <w:rsid w:val="004006E8"/>
    <w:rsid w:val="00401855"/>
    <w:rsid w:val="00456DED"/>
    <w:rsid w:val="00477455"/>
    <w:rsid w:val="00493A0D"/>
    <w:rsid w:val="004D3578"/>
    <w:rsid w:val="004D380D"/>
    <w:rsid w:val="004E213A"/>
    <w:rsid w:val="00503171"/>
    <w:rsid w:val="00506C28"/>
    <w:rsid w:val="00534DA0"/>
    <w:rsid w:val="00543E6C"/>
    <w:rsid w:val="00565087"/>
    <w:rsid w:val="0056573F"/>
    <w:rsid w:val="00591710"/>
    <w:rsid w:val="00611566"/>
    <w:rsid w:val="00646D99"/>
    <w:rsid w:val="00656910"/>
    <w:rsid w:val="006C66D8"/>
    <w:rsid w:val="006D1E24"/>
    <w:rsid w:val="006E1417"/>
    <w:rsid w:val="006F6A2C"/>
    <w:rsid w:val="00710201"/>
    <w:rsid w:val="00734A5B"/>
    <w:rsid w:val="00744E76"/>
    <w:rsid w:val="00757D40"/>
    <w:rsid w:val="00781F0F"/>
    <w:rsid w:val="0078727C"/>
    <w:rsid w:val="0079049D"/>
    <w:rsid w:val="007B18D8"/>
    <w:rsid w:val="007C095F"/>
    <w:rsid w:val="008028A4"/>
    <w:rsid w:val="00813245"/>
    <w:rsid w:val="0084099E"/>
    <w:rsid w:val="008768CA"/>
    <w:rsid w:val="00877EF9"/>
    <w:rsid w:val="00880559"/>
    <w:rsid w:val="008B5306"/>
    <w:rsid w:val="008C096C"/>
    <w:rsid w:val="008F384E"/>
    <w:rsid w:val="0090271F"/>
    <w:rsid w:val="00902DB9"/>
    <w:rsid w:val="0090466A"/>
    <w:rsid w:val="00904769"/>
    <w:rsid w:val="00936071"/>
    <w:rsid w:val="00940212"/>
    <w:rsid w:val="00942EC2"/>
    <w:rsid w:val="00961B32"/>
    <w:rsid w:val="00970DB3"/>
    <w:rsid w:val="00974BB0"/>
    <w:rsid w:val="009A0AF3"/>
    <w:rsid w:val="009B07CD"/>
    <w:rsid w:val="009C19E9"/>
    <w:rsid w:val="00A10F02"/>
    <w:rsid w:val="00A204CA"/>
    <w:rsid w:val="00A27E58"/>
    <w:rsid w:val="00A53724"/>
    <w:rsid w:val="00A82346"/>
    <w:rsid w:val="00A8487C"/>
    <w:rsid w:val="00A9671C"/>
    <w:rsid w:val="00AA1553"/>
    <w:rsid w:val="00AE3B86"/>
    <w:rsid w:val="00B06A18"/>
    <w:rsid w:val="00B13DC1"/>
    <w:rsid w:val="00B15449"/>
    <w:rsid w:val="00B4099C"/>
    <w:rsid w:val="00B47FD1"/>
    <w:rsid w:val="00B516BB"/>
    <w:rsid w:val="00BF4F11"/>
    <w:rsid w:val="00C12B51"/>
    <w:rsid w:val="00C24650"/>
    <w:rsid w:val="00C33079"/>
    <w:rsid w:val="00C53A20"/>
    <w:rsid w:val="00C83A13"/>
    <w:rsid w:val="00C9068C"/>
    <w:rsid w:val="00C92967"/>
    <w:rsid w:val="00CA3D0C"/>
    <w:rsid w:val="00CA654B"/>
    <w:rsid w:val="00CD23EE"/>
    <w:rsid w:val="00CD4C7B"/>
    <w:rsid w:val="00D148C4"/>
    <w:rsid w:val="00D738D6"/>
    <w:rsid w:val="00D80795"/>
    <w:rsid w:val="00D854BE"/>
    <w:rsid w:val="00D87E00"/>
    <w:rsid w:val="00D9134D"/>
    <w:rsid w:val="00D96D11"/>
    <w:rsid w:val="00DA7A03"/>
    <w:rsid w:val="00DB1818"/>
    <w:rsid w:val="00DC309B"/>
    <w:rsid w:val="00DC3A59"/>
    <w:rsid w:val="00DC4784"/>
    <w:rsid w:val="00DC4DA2"/>
    <w:rsid w:val="00E62835"/>
    <w:rsid w:val="00E77645"/>
    <w:rsid w:val="00E83697"/>
    <w:rsid w:val="00EC4A25"/>
    <w:rsid w:val="00EC5C1D"/>
    <w:rsid w:val="00EF7827"/>
    <w:rsid w:val="00F025A2"/>
    <w:rsid w:val="00F07388"/>
    <w:rsid w:val="00F2026E"/>
    <w:rsid w:val="00F2210A"/>
    <w:rsid w:val="00F37743"/>
    <w:rsid w:val="00F54A3D"/>
    <w:rsid w:val="00F54CB0"/>
    <w:rsid w:val="00F653B8"/>
    <w:rsid w:val="00F71B89"/>
    <w:rsid w:val="00F7353C"/>
    <w:rsid w:val="00F76F8F"/>
    <w:rsid w:val="00F84867"/>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Mention">
    <w:name w:val="Mention"/>
    <w:basedOn w:val="DefaultParagraphFont"/>
    <w:uiPriority w:val="99"/>
    <w:semiHidden/>
    <w:unhideWhenUsed/>
    <w:rsid w:val="00B06A18"/>
    <w:rPr>
      <w:color w:val="2B579A"/>
      <w:shd w:val="clear" w:color="auto" w:fill="E6E6E6"/>
    </w:rPr>
  </w:style>
  <w:style w:type="character" w:styleId="FollowedHyperlink">
    <w:name w:val="FollowedHyperlink"/>
    <w:basedOn w:val="DefaultParagraphFont"/>
    <w:rsid w:val="00AE3B86"/>
    <w:rPr>
      <w:color w:val="954F72" w:themeColor="followedHyperlink"/>
      <w:u w:val="single"/>
    </w:rPr>
  </w:style>
  <w:style w:type="paragraph" w:styleId="BalloonText">
    <w:name w:val="Balloon Text"/>
    <w:basedOn w:val="Normal"/>
    <w:link w:val="BalloonTextChar"/>
    <w:rsid w:val="00AE3B86"/>
    <w:pPr>
      <w:spacing w:after="0"/>
    </w:pPr>
    <w:rPr>
      <w:rFonts w:ascii="Segoe UI" w:hAnsi="Segoe UI" w:cs="Segoe UI"/>
      <w:sz w:val="18"/>
      <w:szCs w:val="18"/>
    </w:rPr>
  </w:style>
  <w:style w:type="character" w:customStyle="1" w:styleId="BalloonTextChar">
    <w:name w:val="Balloon Text Char"/>
    <w:basedOn w:val="DefaultParagraphFont"/>
    <w:link w:val="BalloonText"/>
    <w:rsid w:val="00AE3B8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98/Docs/R2-1704338.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SP-5AIRPNAIUNRU-859666464-448</_dlc_DocId>
    <_dlc_DocIdUrl xmlns="71c5aaf6-e6ce-465b-b873-5148d2a4c105">
      <Url>https://nokia.sharepoint.com/sites/c5g/e2earch/_layouts/15/DocIdRedir.aspx?ID=SP-5AIRPNAIUNRU-859666464-448</Url>
      <Description>SP-5AIRPNAIUNRU-859666464-448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71F21-A5B0-4F47-BAB9-1363F9207C25}">
  <ds:schemaRefs>
    <ds:schemaRef ds:uri="http://schemas.microsoft.com/sharepoint/events"/>
  </ds:schemaRefs>
</ds:datastoreItem>
</file>

<file path=customXml/itemProps2.xml><?xml version="1.0" encoding="utf-8"?>
<ds:datastoreItem xmlns:ds="http://schemas.openxmlformats.org/officeDocument/2006/customXml" ds:itemID="{92AF124A-08B9-4C06-8D49-FF33857ADF04}">
  <ds:schemaRefs>
    <ds:schemaRef ds:uri="http://schemas.microsoft.com/sharepoint/v3/contenttype/forms"/>
  </ds:schemaRefs>
</ds:datastoreItem>
</file>

<file path=customXml/itemProps3.xml><?xml version="1.0" encoding="utf-8"?>
<ds:datastoreItem xmlns:ds="http://schemas.openxmlformats.org/officeDocument/2006/customXml" ds:itemID="{FC2225AD-360F-4A2F-9C4E-FB447B3DC64C}">
  <ds:schemaRefs>
    <ds:schemaRef ds:uri="http://schemas.openxmlformats.org/package/2006/metadata/core-properties"/>
    <ds:schemaRef ds:uri="http://schemas.microsoft.com/office/2006/documentManagement/types"/>
    <ds:schemaRef ds:uri="http://schemas.microsoft.com/office/2006/metadata/properties"/>
    <ds:schemaRef ds:uri="3b34c8f0-1ef5-4d1e-bb66-517ce7fe7356"/>
    <ds:schemaRef ds:uri="http://purl.org/dc/dcmitype/"/>
    <ds:schemaRef ds:uri="http://www.w3.org/XML/1998/namespace"/>
    <ds:schemaRef ds:uri="http://purl.org/dc/terms/"/>
    <ds:schemaRef ds:uri="a3840f4f-04be-43d1-b2ef-6ff1382503c7"/>
    <ds:schemaRef ds:uri="http://purl.org/dc/elements/1.1/"/>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F23504A-6E2B-4124-BD86-E62CE63A4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534</Words>
  <Characters>4334</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4859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Henri (Nokia - FI/Espoo)</dc:creator>
  <cp:lastModifiedBy>Nokia</cp:lastModifiedBy>
  <cp:revision>2</cp:revision>
  <dcterms:created xsi:type="dcterms:W3CDTF">2017-06-16T19:29:00Z</dcterms:created>
  <dcterms:modified xsi:type="dcterms:W3CDTF">2017-06-16T19:29:00Z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e7b10a05-1d33-4bca-836a-a1c4fc1b85b5</vt:lpwstr>
  </property>
</Properties>
</file>